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AC13F7">
        <w:rPr>
          <w:rFonts w:ascii="Arial" w:eastAsia="Times New Roman" w:hAnsi="Arial" w:cs="Arial"/>
          <w:b/>
          <w:lang w:eastAsia="pl-PL"/>
        </w:rPr>
        <w:t>2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BC2381" w:rsidRPr="00621DAE" w:rsidRDefault="00BC2381" w:rsidP="00BC238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</w:t>
      </w:r>
      <w:bookmarkStart w:id="0" w:name="_GoBack"/>
      <w:bookmarkEnd w:id="0"/>
      <w:r w:rsidRPr="00A33889">
        <w:rPr>
          <w:rFonts w:ascii="Arial" w:eastAsia="Times New Roman" w:hAnsi="Arial" w:cs="Arial"/>
          <w:sz w:val="24"/>
          <w:szCs w:val="24"/>
          <w:lang w:eastAsia="pl-PL"/>
        </w:rPr>
        <w:t>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621DAE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L=135mb”.</w:t>
      </w:r>
    </w:p>
    <w:p w:rsidR="00BC2381" w:rsidRPr="009D5F55" w:rsidRDefault="00BC2381" w:rsidP="00BC238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1DAE">
        <w:rPr>
          <w:rFonts w:ascii="Arial" w:eastAsia="Times New Roman" w:hAnsi="Arial" w:cs="Arial"/>
          <w:b/>
          <w:sz w:val="24"/>
          <w:szCs w:val="24"/>
          <w:lang w:eastAsia="pl-PL"/>
        </w:rPr>
        <w:t>Planowana inwestycja na części działek o nr ewid. 13/1,13/5,14/6 położonych w miejscowości Piątkowiec, obręb: 106- Piątkowiec, gmina Wadowice Górne.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>Polsk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Spół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 w:rsidRPr="003F14FB">
        <w:t xml:space="preserve"> 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oraz 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Jaśle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ął stanowiska. W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C2381" w:rsidRPr="00BC2381" w:rsidRDefault="00BC2381" w:rsidP="00BC2381">
      <w:pPr>
        <w:pStyle w:val="Bezodstpw"/>
        <w:rPr>
          <w:rFonts w:ascii="Arial" w:hAnsi="Arial" w:cs="Arial"/>
          <w:sz w:val="24"/>
          <w:lang w:eastAsia="pl-PL"/>
        </w:rPr>
      </w:pPr>
      <w:r w:rsidRPr="00BC2381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BC2381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BC2381" w:rsidRPr="00895BD9" w:rsidRDefault="00BC2381" w:rsidP="00BC2381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C3" w:rsidRDefault="00A94EC3" w:rsidP="008A0E31">
      <w:r>
        <w:separator/>
      </w:r>
    </w:p>
  </w:endnote>
  <w:endnote w:type="continuationSeparator" w:id="0">
    <w:p w:rsidR="00A94EC3" w:rsidRDefault="00A94EC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C3" w:rsidRDefault="00A94EC3" w:rsidP="008A0E31">
      <w:r>
        <w:separator/>
      </w:r>
    </w:p>
  </w:footnote>
  <w:footnote w:type="continuationSeparator" w:id="0">
    <w:p w:rsidR="00A94EC3" w:rsidRDefault="00A94EC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46842"/>
    <w:rsid w:val="007059AB"/>
    <w:rsid w:val="007E24B9"/>
    <w:rsid w:val="008163BC"/>
    <w:rsid w:val="008972BB"/>
    <w:rsid w:val="008A0E31"/>
    <w:rsid w:val="00914A89"/>
    <w:rsid w:val="00A26067"/>
    <w:rsid w:val="00A94EC3"/>
    <w:rsid w:val="00AC13F7"/>
    <w:rsid w:val="00AD3678"/>
    <w:rsid w:val="00BC2381"/>
    <w:rsid w:val="00C20BA1"/>
    <w:rsid w:val="00E3600B"/>
    <w:rsid w:val="00EC6E00"/>
    <w:rsid w:val="00F02C63"/>
    <w:rsid w:val="00F843A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A1AE-4817-466B-9A3E-672C757A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obwieszczenie_16_03_2021_0.docx</cp:keywords>
  <dc:description/>
  <cp:lastModifiedBy>uzytkownik</cp:lastModifiedBy>
  <cp:revision>2</cp:revision>
  <dcterms:created xsi:type="dcterms:W3CDTF">2021-03-26T11:57:00Z</dcterms:created>
  <dcterms:modified xsi:type="dcterms:W3CDTF">2021-03-26T11:57:00Z</dcterms:modified>
</cp:coreProperties>
</file>